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88" w:rsidRDefault="008F48B4">
      <w:pPr>
        <w:pStyle w:val="Textbody"/>
        <w:spacing w:after="283"/>
        <w:ind w:right="-227" w:hanging="170"/>
        <w:jc w:val="center"/>
        <w:rPr>
          <w:color w:val="000000"/>
          <w:spacing w:val="-24"/>
          <w:sz w:val="40"/>
        </w:rPr>
      </w:pPr>
      <w:bookmarkStart w:id="0" w:name="_GoBack"/>
      <w:bookmarkEnd w:id="0"/>
      <w:r>
        <w:rPr>
          <w:color w:val="000000"/>
          <w:spacing w:val="-24"/>
          <w:sz w:val="40"/>
        </w:rPr>
        <w:t>教育部獎助機關機構學校法人及團體推展家庭教育辦法</w:t>
      </w:r>
    </w:p>
    <w:p w:rsidR="00FA5188" w:rsidRDefault="008F48B4">
      <w:pPr>
        <w:pStyle w:val="Textbody"/>
        <w:spacing w:line="460" w:lineRule="atLeast"/>
        <w:ind w:left="480" w:hanging="480"/>
      </w:pPr>
      <w:r>
        <w:rPr>
          <w:color w:val="000000"/>
          <w:sz w:val="28"/>
          <w:lang w:eastAsia="en-US"/>
        </w:rPr>
        <w:t>第一條</w:t>
      </w:r>
      <w:r>
        <w:rPr>
          <w:color w:val="000000"/>
          <w:sz w:val="28"/>
        </w:rPr>
        <w:t xml:space="preserve">    </w:t>
      </w:r>
      <w:r>
        <w:rPr>
          <w:sz w:val="28"/>
        </w:rPr>
        <w:t>本辦法依家庭教育法第十九條規定訂定之。</w:t>
      </w:r>
    </w:p>
    <w:p w:rsidR="00FA5188" w:rsidRDefault="008F48B4">
      <w:pPr>
        <w:pStyle w:val="Textbody"/>
        <w:spacing w:line="460" w:lineRule="atLeast"/>
        <w:ind w:left="480" w:hanging="480"/>
      </w:pPr>
      <w:r>
        <w:rPr>
          <w:color w:val="000000"/>
          <w:sz w:val="28"/>
          <w:lang w:eastAsia="en-US"/>
        </w:rPr>
        <w:t>第二條</w:t>
      </w:r>
      <w:r>
        <w:rPr>
          <w:color w:val="000000"/>
          <w:sz w:val="28"/>
        </w:rPr>
        <w:t xml:space="preserve">    </w:t>
      </w:r>
      <w:r>
        <w:rPr>
          <w:sz w:val="28"/>
        </w:rPr>
        <w:t>本辦法補助及獎勵對象如下：</w:t>
      </w:r>
    </w:p>
    <w:p w:rsidR="00FA5188" w:rsidRDefault="008F48B4">
      <w:pPr>
        <w:pStyle w:val="Textbody"/>
        <w:spacing w:line="460" w:lineRule="atLeast"/>
        <w:ind w:left="1985" w:hanging="567"/>
      </w:pPr>
      <w:r>
        <w:rPr>
          <w:color w:val="000000"/>
          <w:sz w:val="28"/>
          <w:lang w:eastAsia="en-US"/>
        </w:rPr>
        <w:t>一、</w:t>
      </w:r>
      <w:r>
        <w:rPr>
          <w:sz w:val="28"/>
        </w:rPr>
        <w:t>機關：各直轄市、縣（市）政府。</w:t>
      </w:r>
    </w:p>
    <w:p w:rsidR="00FA5188" w:rsidRDefault="008F48B4">
      <w:pPr>
        <w:pStyle w:val="Textbody"/>
        <w:spacing w:line="460" w:lineRule="atLeast"/>
        <w:ind w:left="1985" w:hanging="567"/>
      </w:pPr>
      <w:r>
        <w:rPr>
          <w:color w:val="000000"/>
          <w:sz w:val="28"/>
          <w:lang w:eastAsia="en-US"/>
        </w:rPr>
        <w:t>二、</w:t>
      </w:r>
      <w:r>
        <w:rPr>
          <w:sz w:val="28"/>
        </w:rPr>
        <w:t>機構：教育部（以下簡稱本部）所屬社會教育機構。</w:t>
      </w:r>
    </w:p>
    <w:p w:rsidR="00FA5188" w:rsidRDefault="008F48B4">
      <w:pPr>
        <w:pStyle w:val="Textbody"/>
        <w:spacing w:line="460" w:lineRule="atLeast"/>
        <w:ind w:left="1985" w:hanging="567"/>
      </w:pPr>
      <w:r>
        <w:rPr>
          <w:color w:val="000000"/>
          <w:sz w:val="28"/>
          <w:lang w:eastAsia="en-US"/>
        </w:rPr>
        <w:t>三、</w:t>
      </w:r>
      <w:r>
        <w:rPr>
          <w:sz w:val="28"/>
        </w:rPr>
        <w:t>學校：國內公私立大專校院與國立及本部主管之私立高級中等以下學校。</w:t>
      </w:r>
    </w:p>
    <w:p w:rsidR="00FA5188" w:rsidRDefault="008F48B4">
      <w:pPr>
        <w:pStyle w:val="Textbody"/>
        <w:spacing w:line="460" w:lineRule="atLeast"/>
        <w:ind w:left="1985" w:hanging="567"/>
      </w:pPr>
      <w:r>
        <w:rPr>
          <w:color w:val="000000"/>
          <w:sz w:val="28"/>
          <w:lang w:eastAsia="en-US"/>
        </w:rPr>
        <w:t>四、</w:t>
      </w:r>
      <w:r>
        <w:rPr>
          <w:sz w:val="28"/>
        </w:rPr>
        <w:t>法人及團體：全國性法人及團體。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第三條</w:t>
      </w:r>
      <w:r>
        <w:rPr>
          <w:color w:val="000000"/>
          <w:sz w:val="28"/>
        </w:rPr>
        <w:t xml:space="preserve">    </w:t>
      </w:r>
      <w:r>
        <w:rPr>
          <w:sz w:val="28"/>
        </w:rPr>
        <w:t>推展家庭教育之機關依本辦法申請補助者，應依本部公告之補助規定及期程，檢具年度家庭教育工作計畫書及經費申請表，向本部提出申請。</w:t>
      </w:r>
    </w:p>
    <w:p w:rsidR="00FA5188" w:rsidRDefault="008F48B4">
      <w:pPr>
        <w:pStyle w:val="Textbody"/>
        <w:spacing w:line="460" w:lineRule="atLeast"/>
        <w:ind w:firstLine="1417"/>
        <w:rPr>
          <w:sz w:val="28"/>
        </w:rPr>
      </w:pPr>
      <w:r>
        <w:rPr>
          <w:sz w:val="28"/>
        </w:rPr>
        <w:t>前項補助經費及額度核給之審查基準如下：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一、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計畫書內容之完整性、可行性、創新性及預期效</w:t>
      </w:r>
      <w:r>
        <w:rPr>
          <w:sz w:val="28"/>
        </w:rPr>
        <w:t>益。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二、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前一年度推展家庭教育成效。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三、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直轄市、縣（市）政府家戶數。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四、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經費編列及配置之合理性及妥適性。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五、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直轄市、縣（市）主管機關之財力級次。</w:t>
      </w:r>
    </w:p>
    <w:p w:rsidR="00FA5188" w:rsidRDefault="008F48B4">
      <w:pPr>
        <w:pStyle w:val="Textbody"/>
        <w:spacing w:line="460" w:lineRule="atLeast"/>
        <w:ind w:left="850" w:firstLine="566"/>
        <w:rPr>
          <w:sz w:val="28"/>
        </w:rPr>
      </w:pPr>
      <w:r>
        <w:rPr>
          <w:sz w:val="28"/>
        </w:rPr>
        <w:t>前項第五款之財力級次及補助比率依中央對直轄市及縣（市）政府補助辦法第八條規定辦理。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第四條</w:t>
      </w:r>
      <w:r>
        <w:rPr>
          <w:color w:val="000000"/>
          <w:sz w:val="28"/>
        </w:rPr>
        <w:t xml:space="preserve">    </w:t>
      </w:r>
      <w:r>
        <w:rPr>
          <w:sz w:val="28"/>
        </w:rPr>
        <w:t>推展家庭教育之機構、學校、法人及團體依本辦法申請補助者，應依本部公告之補助規定及期程，檢具補助申請表、實施計畫書及計畫經費項目申請表，向本部提出申請。</w:t>
      </w:r>
    </w:p>
    <w:p w:rsidR="00FA5188" w:rsidRDefault="008F48B4">
      <w:pPr>
        <w:pStyle w:val="Textbody"/>
        <w:spacing w:line="460" w:lineRule="atLeast"/>
        <w:ind w:firstLine="1417"/>
        <w:rPr>
          <w:sz w:val="28"/>
        </w:rPr>
      </w:pPr>
      <w:r>
        <w:rPr>
          <w:sz w:val="28"/>
        </w:rPr>
        <w:t>前項補助經費核給之審查基準如下：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一、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計畫書內容之完整性、可行性、創新性及預期效益。</w:t>
      </w:r>
    </w:p>
    <w:p w:rsidR="00FA5188" w:rsidRDefault="008F48B4">
      <w:pPr>
        <w:pStyle w:val="Textbody"/>
        <w:spacing w:line="460" w:lineRule="atLeast"/>
        <w:ind w:left="1985" w:hanging="568"/>
      </w:pPr>
      <w:r>
        <w:rPr>
          <w:color w:val="000000"/>
          <w:sz w:val="28"/>
          <w:lang w:eastAsia="en-US"/>
        </w:rPr>
        <w:t>二、</w:t>
      </w:r>
      <w:r>
        <w:rPr>
          <w:color w:val="000000"/>
          <w:sz w:val="28"/>
          <w:lang w:eastAsia="en-US"/>
        </w:rPr>
        <w:t xml:space="preserve"> </w:t>
      </w:r>
      <w:r>
        <w:rPr>
          <w:sz w:val="28"/>
        </w:rPr>
        <w:t>經費編列及配置之合理性及妥適性。</w:t>
      </w:r>
    </w:p>
    <w:p w:rsidR="00FA5188" w:rsidRDefault="008F48B4">
      <w:pPr>
        <w:pStyle w:val="Textbody"/>
        <w:spacing w:line="460" w:lineRule="atLeast"/>
        <w:ind w:left="850" w:firstLine="566"/>
        <w:rPr>
          <w:sz w:val="28"/>
        </w:rPr>
      </w:pPr>
      <w:r>
        <w:rPr>
          <w:sz w:val="28"/>
        </w:rPr>
        <w:t>前項補助經費以部分補助為原則。但配合本部政策特殊需求辦</w:t>
      </w:r>
      <w:r>
        <w:rPr>
          <w:sz w:val="28"/>
        </w:rPr>
        <w:t>理之活動，得全額補助。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第五條</w:t>
      </w:r>
      <w:r>
        <w:rPr>
          <w:color w:val="000000"/>
          <w:sz w:val="28"/>
        </w:rPr>
        <w:t xml:space="preserve">    </w:t>
      </w:r>
      <w:r>
        <w:rPr>
          <w:sz w:val="28"/>
        </w:rPr>
        <w:t>推展家庭教育之機關、機構、學校、法人及團體依本辦法申請奬勵者，應依本部公告之獎勵規定及期程提出申請。</w:t>
      </w:r>
    </w:p>
    <w:p w:rsidR="00FA5188" w:rsidRDefault="008F48B4">
      <w:pPr>
        <w:pStyle w:val="Textbody"/>
        <w:spacing w:line="460" w:lineRule="atLeast"/>
        <w:ind w:left="850" w:firstLine="566"/>
        <w:rPr>
          <w:sz w:val="28"/>
        </w:rPr>
      </w:pPr>
      <w:r>
        <w:rPr>
          <w:sz w:val="28"/>
        </w:rPr>
        <w:t>前項獎勵之核給，以推展家庭教育具有績效並經本部審查通</w:t>
      </w:r>
      <w:r>
        <w:rPr>
          <w:sz w:val="28"/>
        </w:rPr>
        <w:lastRenderedPageBreak/>
        <w:t>過後為之。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第六條</w:t>
      </w:r>
      <w:r>
        <w:rPr>
          <w:color w:val="000000"/>
          <w:sz w:val="28"/>
        </w:rPr>
        <w:t xml:space="preserve">    </w:t>
      </w:r>
      <w:r>
        <w:rPr>
          <w:sz w:val="28"/>
        </w:rPr>
        <w:t>前條獎勵之方式，由本部公開表揚，並頒發獎狀、獎座、獎勵金，或以其他方式獎勵之。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第七條</w:t>
      </w:r>
      <w:r>
        <w:rPr>
          <w:color w:val="000000"/>
          <w:sz w:val="28"/>
        </w:rPr>
        <w:t xml:space="preserve">    </w:t>
      </w:r>
      <w:r>
        <w:t>前條獎勵金以運用於家庭教育人才培訓、志工與校務行政人員研習、教學研究及國內外交流觀摩為限。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第八條</w:t>
      </w:r>
      <w:r>
        <w:rPr>
          <w:color w:val="000000"/>
          <w:sz w:val="28"/>
        </w:rPr>
        <w:t xml:space="preserve">    </w:t>
      </w:r>
      <w:r>
        <w:rPr>
          <w:sz w:val="28"/>
        </w:rPr>
        <w:t>本部為審查補助、獎勵之申請案，得遴聘學者、專家及本部代表組成審查小組，或委託經核准設立登記或立案之機關、機構、學校、法人或團體為之。</w:t>
      </w:r>
    </w:p>
    <w:p w:rsidR="00FA5188" w:rsidRDefault="008F48B4">
      <w:pPr>
        <w:pStyle w:val="Textbody"/>
        <w:spacing w:line="460" w:lineRule="atLeast"/>
        <w:ind w:left="850" w:firstLine="566"/>
        <w:rPr>
          <w:sz w:val="28"/>
        </w:rPr>
      </w:pPr>
      <w:r>
        <w:rPr>
          <w:sz w:val="28"/>
        </w:rPr>
        <w:t>前項家庭教育之學者、專家，不得少於委員總數二分之一；任一性別人數，不得少於委員總數三分之一。</w:t>
      </w:r>
    </w:p>
    <w:p w:rsidR="00FA5188" w:rsidRDefault="008F48B4">
      <w:pPr>
        <w:pStyle w:val="Textbody"/>
        <w:spacing w:line="460" w:lineRule="atLeast"/>
        <w:ind w:left="850" w:firstLine="566"/>
        <w:rPr>
          <w:sz w:val="28"/>
        </w:rPr>
      </w:pPr>
      <w:r>
        <w:rPr>
          <w:sz w:val="28"/>
        </w:rPr>
        <w:t>第一項審查，必要時，得邀請申請之機關、機構、學校、法人及團體到場說明，或進行</w:t>
      </w:r>
      <w:r>
        <w:rPr>
          <w:sz w:val="28"/>
        </w:rPr>
        <w:t>實地訪視。</w:t>
      </w:r>
    </w:p>
    <w:p w:rsidR="00FA5188" w:rsidRDefault="008F48B4">
      <w:pPr>
        <w:pStyle w:val="Textbody"/>
        <w:spacing w:line="460" w:lineRule="atLeast"/>
        <w:ind w:left="851" w:hanging="851"/>
      </w:pPr>
      <w:r>
        <w:rPr>
          <w:color w:val="000000"/>
          <w:sz w:val="28"/>
          <w:lang w:eastAsia="en-US"/>
        </w:rPr>
        <w:t>第九條</w:t>
      </w:r>
      <w:r>
        <w:rPr>
          <w:color w:val="000000"/>
          <w:sz w:val="28"/>
        </w:rPr>
        <w:t xml:space="preserve">    </w:t>
      </w:r>
      <w:r>
        <w:rPr>
          <w:sz w:val="28"/>
        </w:rPr>
        <w:t>有下列情事之一者，本部得不予補助或獎勵；已核准補助或獎勵者，應通知其限期改善；屆期未改善者，得撤銷或廢止補助或獎勵，並以行政處分命其繳回各該補助或獎勵之全部或一部；並作為下次補助或獎勵之參考：</w:t>
      </w:r>
    </w:p>
    <w:p w:rsidR="00FA5188" w:rsidRDefault="008F48B4">
      <w:pPr>
        <w:pStyle w:val="Textbody"/>
        <w:tabs>
          <w:tab w:val="left" w:pos="2101"/>
        </w:tabs>
        <w:spacing w:line="460" w:lineRule="atLeast"/>
        <w:ind w:left="1328" w:firstLine="90"/>
      </w:pPr>
      <w:r>
        <w:rPr>
          <w:color w:val="000000"/>
          <w:sz w:val="28"/>
          <w:lang w:eastAsia="en-US"/>
        </w:rPr>
        <w:t>一、</w:t>
      </w:r>
      <w:r>
        <w:rPr>
          <w:sz w:val="28"/>
        </w:rPr>
        <w:t>申請之文件及各項資料有虛偽不實或違法。</w:t>
      </w:r>
    </w:p>
    <w:p w:rsidR="00FA5188" w:rsidRDefault="008F48B4">
      <w:pPr>
        <w:pStyle w:val="Textbody"/>
        <w:spacing w:line="460" w:lineRule="atLeast"/>
        <w:ind w:left="1328" w:firstLine="90"/>
      </w:pPr>
      <w:r>
        <w:rPr>
          <w:color w:val="000000"/>
          <w:sz w:val="28"/>
          <w:lang w:eastAsia="en-US"/>
        </w:rPr>
        <w:t>二、</w:t>
      </w:r>
      <w:r>
        <w:rPr>
          <w:sz w:val="28"/>
        </w:rPr>
        <w:t>未依本部核定之補助計畫執行。</w:t>
      </w:r>
    </w:p>
    <w:p w:rsidR="00FA5188" w:rsidRDefault="008F48B4">
      <w:pPr>
        <w:pStyle w:val="Textbody"/>
        <w:spacing w:line="460" w:lineRule="atLeast"/>
        <w:ind w:left="1328" w:firstLine="90"/>
      </w:pPr>
      <w:r>
        <w:rPr>
          <w:color w:val="000000"/>
          <w:sz w:val="28"/>
          <w:lang w:eastAsia="en-US"/>
        </w:rPr>
        <w:t>三、</w:t>
      </w:r>
      <w:r>
        <w:rPr>
          <w:sz w:val="28"/>
        </w:rPr>
        <w:t>獎勵金之使用違反第七條規定。</w:t>
      </w:r>
    </w:p>
    <w:p w:rsidR="00FA5188" w:rsidRDefault="008F48B4">
      <w:pPr>
        <w:pStyle w:val="Textbody"/>
        <w:spacing w:line="460" w:lineRule="atLeast"/>
        <w:ind w:left="1328" w:firstLine="90"/>
      </w:pPr>
      <w:r>
        <w:rPr>
          <w:color w:val="000000"/>
          <w:sz w:val="28"/>
          <w:lang w:eastAsia="en-US"/>
        </w:rPr>
        <w:t>四、</w:t>
      </w:r>
      <w:r>
        <w:rPr>
          <w:sz w:val="28"/>
        </w:rPr>
        <w:t>執行成效不佳。</w:t>
      </w:r>
    </w:p>
    <w:p w:rsidR="00FA5188" w:rsidRDefault="008F48B4">
      <w:pPr>
        <w:pStyle w:val="Textbody"/>
        <w:spacing w:line="460" w:lineRule="atLeast"/>
        <w:ind w:left="1328" w:firstLine="90"/>
      </w:pPr>
      <w:r>
        <w:rPr>
          <w:color w:val="000000"/>
          <w:sz w:val="28"/>
          <w:lang w:eastAsia="en-US"/>
        </w:rPr>
        <w:t>五、</w:t>
      </w:r>
      <w:r>
        <w:rPr>
          <w:sz w:val="28"/>
        </w:rPr>
        <w:t>規避、妨礙或拒絕本部之訪視或輔導。</w:t>
      </w:r>
    </w:p>
    <w:p w:rsidR="00FA5188" w:rsidRDefault="008F48B4">
      <w:pPr>
        <w:pStyle w:val="Textbody"/>
        <w:spacing w:line="460" w:lineRule="atLeast"/>
        <w:ind w:left="480" w:hanging="480"/>
      </w:pPr>
      <w:r>
        <w:rPr>
          <w:color w:val="000000"/>
          <w:sz w:val="28"/>
          <w:lang w:eastAsia="en-US"/>
        </w:rPr>
        <w:t>第十條</w:t>
      </w:r>
      <w:r>
        <w:rPr>
          <w:color w:val="000000"/>
          <w:sz w:val="28"/>
        </w:rPr>
        <w:t xml:space="preserve">    </w:t>
      </w:r>
      <w:r>
        <w:rPr>
          <w:sz w:val="28"/>
        </w:rPr>
        <w:t>本辦法自發布日施行。</w:t>
      </w:r>
    </w:p>
    <w:p w:rsidR="00FA5188" w:rsidRDefault="00FA5188">
      <w:pPr>
        <w:pStyle w:val="14PT--"/>
      </w:pPr>
    </w:p>
    <w:sectPr w:rsidR="00FA5188">
      <w:pgSz w:w="11906" w:h="16838"/>
      <w:pgMar w:top="1417" w:right="1417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B4" w:rsidRDefault="008F48B4">
      <w:r>
        <w:separator/>
      </w:r>
    </w:p>
  </w:endnote>
  <w:endnote w:type="continuationSeparator" w:id="0">
    <w:p w:rsidR="008F48B4" w:rsidRDefault="008F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B4" w:rsidRDefault="008F48B4">
      <w:r>
        <w:rPr>
          <w:color w:val="000000"/>
        </w:rPr>
        <w:separator/>
      </w:r>
    </w:p>
  </w:footnote>
  <w:footnote w:type="continuationSeparator" w:id="0">
    <w:p w:rsidR="008F48B4" w:rsidRDefault="008F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7FDC"/>
    <w:multiLevelType w:val="multilevel"/>
    <w:tmpl w:val="E05A6A34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5384125"/>
    <w:multiLevelType w:val="multilevel"/>
    <w:tmpl w:val="C930B98A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">
    <w:nsid w:val="17C5270D"/>
    <w:multiLevelType w:val="multilevel"/>
    <w:tmpl w:val="C45EE2A8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18633724"/>
    <w:multiLevelType w:val="multilevel"/>
    <w:tmpl w:val="378E9AD0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4">
    <w:nsid w:val="1F5365A2"/>
    <w:multiLevelType w:val="multilevel"/>
    <w:tmpl w:val="72D836F2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5">
    <w:nsid w:val="200A46CD"/>
    <w:multiLevelType w:val="multilevel"/>
    <w:tmpl w:val="C4DE0C52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6">
    <w:nsid w:val="20BB6B49"/>
    <w:multiLevelType w:val="multilevel"/>
    <w:tmpl w:val="28C2DE4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7">
    <w:nsid w:val="212D6A91"/>
    <w:multiLevelType w:val="multilevel"/>
    <w:tmpl w:val="0834F69C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483E81"/>
    <w:multiLevelType w:val="multilevel"/>
    <w:tmpl w:val="57549FE2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9">
    <w:nsid w:val="2D834803"/>
    <w:multiLevelType w:val="multilevel"/>
    <w:tmpl w:val="DC0C32A8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33A33CCF"/>
    <w:multiLevelType w:val="multilevel"/>
    <w:tmpl w:val="4052DE6A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34AC55F9"/>
    <w:multiLevelType w:val="multilevel"/>
    <w:tmpl w:val="14685F62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2">
    <w:nsid w:val="354D0AEA"/>
    <w:multiLevelType w:val="multilevel"/>
    <w:tmpl w:val="DAD498B2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6982C6E"/>
    <w:multiLevelType w:val="multilevel"/>
    <w:tmpl w:val="8A706BBA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4">
    <w:nsid w:val="39C56E34"/>
    <w:multiLevelType w:val="multilevel"/>
    <w:tmpl w:val="0F0A3162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5">
    <w:nsid w:val="424B6F85"/>
    <w:multiLevelType w:val="multilevel"/>
    <w:tmpl w:val="3C18ACF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16">
    <w:nsid w:val="45D71228"/>
    <w:multiLevelType w:val="multilevel"/>
    <w:tmpl w:val="63A88C12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7EE3365"/>
    <w:multiLevelType w:val="multilevel"/>
    <w:tmpl w:val="D8889B3C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8">
    <w:nsid w:val="482F6F63"/>
    <w:multiLevelType w:val="multilevel"/>
    <w:tmpl w:val="E702CDCE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9">
    <w:nsid w:val="49FC18EF"/>
    <w:multiLevelType w:val="multilevel"/>
    <w:tmpl w:val="6178AB9E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0">
    <w:nsid w:val="4A8643CB"/>
    <w:multiLevelType w:val="multilevel"/>
    <w:tmpl w:val="FDF0641C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1">
    <w:nsid w:val="4D70153E"/>
    <w:multiLevelType w:val="multilevel"/>
    <w:tmpl w:val="31503BC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2">
    <w:nsid w:val="4E6111F9"/>
    <w:multiLevelType w:val="multilevel"/>
    <w:tmpl w:val="82AEC1E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3">
    <w:nsid w:val="4EFD00B0"/>
    <w:multiLevelType w:val="multilevel"/>
    <w:tmpl w:val="2D84A99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4">
    <w:nsid w:val="52DF6E91"/>
    <w:multiLevelType w:val="multilevel"/>
    <w:tmpl w:val="1794E9A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5">
    <w:nsid w:val="54131734"/>
    <w:multiLevelType w:val="multilevel"/>
    <w:tmpl w:val="DB840A68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6">
    <w:nsid w:val="547A0A48"/>
    <w:multiLevelType w:val="multilevel"/>
    <w:tmpl w:val="5A026056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7">
    <w:nsid w:val="548E12BA"/>
    <w:multiLevelType w:val="multilevel"/>
    <w:tmpl w:val="531CCA1C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>
    <w:nsid w:val="59416C81"/>
    <w:multiLevelType w:val="multilevel"/>
    <w:tmpl w:val="D1A0632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9">
    <w:nsid w:val="61413F4C"/>
    <w:multiLevelType w:val="multilevel"/>
    <w:tmpl w:val="2564C01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0">
    <w:nsid w:val="619721C5"/>
    <w:multiLevelType w:val="multilevel"/>
    <w:tmpl w:val="76B4519E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1">
    <w:nsid w:val="65A06E87"/>
    <w:multiLevelType w:val="multilevel"/>
    <w:tmpl w:val="EA0213F2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2">
    <w:nsid w:val="69A12057"/>
    <w:multiLevelType w:val="multilevel"/>
    <w:tmpl w:val="DF40301A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3">
    <w:nsid w:val="69AA59D0"/>
    <w:multiLevelType w:val="multilevel"/>
    <w:tmpl w:val="8496D7D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4">
    <w:nsid w:val="6A67527F"/>
    <w:multiLevelType w:val="multilevel"/>
    <w:tmpl w:val="1062F746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5">
    <w:nsid w:val="6B9A3AAF"/>
    <w:multiLevelType w:val="multilevel"/>
    <w:tmpl w:val="37A4E7DC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6">
    <w:nsid w:val="6DB629C6"/>
    <w:multiLevelType w:val="multilevel"/>
    <w:tmpl w:val="959AC306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7">
    <w:nsid w:val="7152340F"/>
    <w:multiLevelType w:val="multilevel"/>
    <w:tmpl w:val="E5B28B70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8">
    <w:nsid w:val="72F61FC6"/>
    <w:multiLevelType w:val="multilevel"/>
    <w:tmpl w:val="6556265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9">
    <w:nsid w:val="74936B70"/>
    <w:multiLevelType w:val="multilevel"/>
    <w:tmpl w:val="EBA25FA6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5325B19"/>
    <w:multiLevelType w:val="multilevel"/>
    <w:tmpl w:val="3E860250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1">
    <w:nsid w:val="776E17A3"/>
    <w:multiLevelType w:val="multilevel"/>
    <w:tmpl w:val="011E4DD6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42">
    <w:nsid w:val="78065E69"/>
    <w:multiLevelType w:val="multilevel"/>
    <w:tmpl w:val="568A4B7E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3">
    <w:nsid w:val="7B9F68A3"/>
    <w:multiLevelType w:val="multilevel"/>
    <w:tmpl w:val="FD8A2D28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44">
    <w:nsid w:val="7BCC0C21"/>
    <w:multiLevelType w:val="multilevel"/>
    <w:tmpl w:val="D9B6C1E6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5">
    <w:nsid w:val="7D8A63F3"/>
    <w:multiLevelType w:val="multilevel"/>
    <w:tmpl w:val="42F29B42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2"/>
  </w:num>
  <w:num w:numId="5">
    <w:abstractNumId w:val="27"/>
  </w:num>
  <w:num w:numId="6">
    <w:abstractNumId w:val="1"/>
  </w:num>
  <w:num w:numId="7">
    <w:abstractNumId w:val="17"/>
  </w:num>
  <w:num w:numId="8">
    <w:abstractNumId w:val="35"/>
  </w:num>
  <w:num w:numId="9">
    <w:abstractNumId w:val="22"/>
  </w:num>
  <w:num w:numId="10">
    <w:abstractNumId w:val="40"/>
  </w:num>
  <w:num w:numId="11">
    <w:abstractNumId w:val="43"/>
  </w:num>
  <w:num w:numId="12">
    <w:abstractNumId w:val="28"/>
  </w:num>
  <w:num w:numId="13">
    <w:abstractNumId w:val="19"/>
  </w:num>
  <w:num w:numId="14">
    <w:abstractNumId w:val="13"/>
  </w:num>
  <w:num w:numId="15">
    <w:abstractNumId w:val="9"/>
  </w:num>
  <w:num w:numId="16">
    <w:abstractNumId w:val="37"/>
  </w:num>
  <w:num w:numId="17">
    <w:abstractNumId w:val="38"/>
  </w:num>
  <w:num w:numId="18">
    <w:abstractNumId w:val="33"/>
  </w:num>
  <w:num w:numId="19">
    <w:abstractNumId w:val="20"/>
  </w:num>
  <w:num w:numId="20">
    <w:abstractNumId w:val="39"/>
  </w:num>
  <w:num w:numId="21">
    <w:abstractNumId w:val="29"/>
  </w:num>
  <w:num w:numId="22">
    <w:abstractNumId w:val="24"/>
  </w:num>
  <w:num w:numId="23">
    <w:abstractNumId w:val="10"/>
  </w:num>
  <w:num w:numId="24">
    <w:abstractNumId w:val="0"/>
  </w:num>
  <w:num w:numId="25">
    <w:abstractNumId w:val="31"/>
  </w:num>
  <w:num w:numId="26">
    <w:abstractNumId w:val="23"/>
  </w:num>
  <w:num w:numId="27">
    <w:abstractNumId w:val="34"/>
  </w:num>
  <w:num w:numId="28">
    <w:abstractNumId w:val="45"/>
  </w:num>
  <w:num w:numId="29">
    <w:abstractNumId w:val="36"/>
  </w:num>
  <w:num w:numId="30">
    <w:abstractNumId w:val="7"/>
  </w:num>
  <w:num w:numId="31">
    <w:abstractNumId w:val="6"/>
  </w:num>
  <w:num w:numId="32">
    <w:abstractNumId w:val="21"/>
  </w:num>
  <w:num w:numId="33">
    <w:abstractNumId w:val="16"/>
  </w:num>
  <w:num w:numId="34">
    <w:abstractNumId w:val="3"/>
  </w:num>
  <w:num w:numId="35">
    <w:abstractNumId w:val="25"/>
  </w:num>
  <w:num w:numId="36">
    <w:abstractNumId w:val="14"/>
  </w:num>
  <w:num w:numId="37">
    <w:abstractNumId w:val="30"/>
  </w:num>
  <w:num w:numId="38">
    <w:abstractNumId w:val="15"/>
  </w:num>
  <w:num w:numId="39">
    <w:abstractNumId w:val="44"/>
  </w:num>
  <w:num w:numId="40">
    <w:abstractNumId w:val="5"/>
  </w:num>
  <w:num w:numId="41">
    <w:abstractNumId w:val="41"/>
  </w:num>
  <w:num w:numId="42">
    <w:abstractNumId w:val="11"/>
  </w:num>
  <w:num w:numId="43">
    <w:abstractNumId w:val="18"/>
  </w:num>
  <w:num w:numId="44">
    <w:abstractNumId w:val="42"/>
  </w:num>
  <w:num w:numId="45">
    <w:abstractNumId w:val="2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188"/>
    <w:rsid w:val="0013712C"/>
    <w:rsid w:val="008F48B4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TNUA_JL</dc:creator>
  <cp:lastModifiedBy>TNUA</cp:lastModifiedBy>
  <cp:revision>1</cp:revision>
  <dcterms:created xsi:type="dcterms:W3CDTF">2019-11-13T17:24:00Z</dcterms:created>
  <dcterms:modified xsi:type="dcterms:W3CDTF">2019-11-22T08:07:00Z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